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利用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国有资产证明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600" w:lineRule="exact"/>
        <w:ind w:firstLine="3467" w:firstLineChars="788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text" w:horzAnchor="page" w:tblpXSpec="center" w:tblpY="14"/>
        <w:tblOverlap w:val="never"/>
        <w:tblW w:w="875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8"/>
        <w:gridCol w:w="5625"/>
      </w:tblGrid>
      <w:tr>
        <w:trPr>
          <w:trHeight w:val="855" w:hRule="atLeast"/>
          <w:jc w:val="center"/>
        </w:trPr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事业单位名称</w:t>
            </w:r>
          </w:p>
        </w:tc>
        <w:tc>
          <w:tcPr>
            <w:tcW w:w="5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411" w:hRule="atLeast"/>
          <w:jc w:val="center"/>
        </w:trPr>
        <w:tc>
          <w:tcPr>
            <w:tcW w:w="31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利用国有资产形</w:t>
            </w: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态</w:t>
            </w:r>
          </w:p>
        </w:tc>
        <w:tc>
          <w:tcPr>
            <w:tcW w:w="56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有形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32"/>
                <w:szCs w:val="32"/>
                <w:u w:val="single"/>
                <w:lang w:eastAsia="zh-CN"/>
              </w:rPr>
              <w:t>具体内容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□无形资产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32"/>
                <w:szCs w:val="32"/>
                <w:u w:val="single"/>
                <w:lang w:eastAsia="zh-CN"/>
              </w:rPr>
              <w:t>具体内容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</w:p>
        </w:tc>
      </w:tr>
      <w:tr>
        <w:trPr>
          <w:trHeight w:val="893" w:hRule="atLeast"/>
          <w:jc w:val="center"/>
        </w:trPr>
        <w:tc>
          <w:tcPr>
            <w:tcW w:w="31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国有资产金额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56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893" w:hRule="atLeast"/>
          <w:jc w:val="center"/>
        </w:trPr>
        <w:tc>
          <w:tcPr>
            <w:tcW w:w="31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国有资产占比（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%）</w:t>
            </w:r>
          </w:p>
        </w:tc>
        <w:tc>
          <w:tcPr>
            <w:tcW w:w="56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539" w:hRule="atLeast"/>
          <w:jc w:val="center"/>
        </w:trPr>
        <w:tc>
          <w:tcPr>
            <w:tcW w:w="31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确认依据</w:t>
            </w:r>
          </w:p>
        </w:tc>
        <w:tc>
          <w:tcPr>
            <w:tcW w:w="56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国有资产的证明文件；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国有资产计入开办资金的，除资金外的资产均需提交资产评估机构评估计价报告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或其他证明材料。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）</w:t>
            </w:r>
          </w:p>
        </w:tc>
      </w:tr>
      <w:tr>
        <w:trPr>
          <w:trHeight w:val="1460" w:hRule="atLeast"/>
          <w:jc w:val="center"/>
        </w:trPr>
        <w:tc>
          <w:tcPr>
            <w:tcW w:w="31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国有资产使用审核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报备情况</w:t>
            </w:r>
          </w:p>
        </w:tc>
        <w:tc>
          <w:tcPr>
            <w:tcW w:w="56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ind w:right="718" w:rightChars="342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ind w:right="50" w:rightChars="24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735" w:hRule="atLeast"/>
          <w:jc w:val="center"/>
        </w:trPr>
        <w:tc>
          <w:tcPr>
            <w:tcW w:w="31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举办单位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</w:tc>
        <w:tc>
          <w:tcPr>
            <w:tcW w:w="5625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ind w:right="718" w:rightChars="342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45C4A"/>
    <w:rsid w:val="134852AE"/>
    <w:rsid w:val="3BF04855"/>
    <w:rsid w:val="4B045C4A"/>
    <w:rsid w:val="636662CA"/>
    <w:rsid w:val="6CBE35B4"/>
    <w:rsid w:val="FEB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2019-07-24T16:02:00Z</dcterms:created>
  <dc:creator>JPY</dc:creator>
  <cp:lastModifiedBy>litong</cp:lastModifiedBy>
  <dcterms:modified xsi:type="dcterms:W3CDTF">2021-08-08T10:57:04Z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